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
        <w:tblW w:w="12950" w:type="dxa"/>
        <w:tblLook w:val="04A0" w:firstRow="1" w:lastRow="0" w:firstColumn="1" w:lastColumn="0" w:noHBand="0" w:noVBand="1"/>
      </w:tblPr>
      <w:tblGrid>
        <w:gridCol w:w="2413"/>
        <w:gridCol w:w="3386"/>
        <w:gridCol w:w="3442"/>
        <w:gridCol w:w="3709"/>
      </w:tblGrid>
      <w:tr w:rsidR="00B778FF" w:rsidRPr="00703EBC" w14:paraId="7439222D" w14:textId="77777777" w:rsidTr="00B77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14:paraId="3AC2AC56" w14:textId="77777777" w:rsidR="00B778FF" w:rsidRPr="00703EBC" w:rsidRDefault="00B778FF" w:rsidP="002214BE">
            <w:pPr>
              <w:jc w:val="center"/>
            </w:pPr>
          </w:p>
        </w:tc>
        <w:tc>
          <w:tcPr>
            <w:tcW w:w="3386" w:type="dxa"/>
          </w:tcPr>
          <w:p w14:paraId="34CB250E" w14:textId="6DA053FB" w:rsidR="00B778FF" w:rsidRPr="00703EBC" w:rsidRDefault="00B778FF" w:rsidP="002214BE">
            <w:pPr>
              <w:jc w:val="center"/>
              <w:cnfStyle w:val="100000000000" w:firstRow="1" w:lastRow="0" w:firstColumn="0" w:lastColumn="0" w:oddVBand="0" w:evenVBand="0" w:oddHBand="0" w:evenHBand="0" w:firstRowFirstColumn="0" w:firstRowLastColumn="0" w:lastRowFirstColumn="0" w:lastRowLastColumn="0"/>
            </w:pPr>
            <w:r w:rsidRPr="00703EBC">
              <w:t>Provision in the Bill</w:t>
            </w:r>
          </w:p>
        </w:tc>
        <w:tc>
          <w:tcPr>
            <w:tcW w:w="3442" w:type="dxa"/>
          </w:tcPr>
          <w:p w14:paraId="4E266CCA" w14:textId="6C59320F" w:rsidR="00B778FF" w:rsidRPr="00703EBC" w:rsidRDefault="00B778FF" w:rsidP="002214BE">
            <w:pPr>
              <w:jc w:val="center"/>
              <w:cnfStyle w:val="100000000000" w:firstRow="1" w:lastRow="0" w:firstColumn="0" w:lastColumn="0" w:oddVBand="0" w:evenVBand="0" w:oddHBand="0" w:evenHBand="0" w:firstRowFirstColumn="0" w:firstRowLastColumn="0" w:lastRowFirstColumn="0" w:lastRowLastColumn="0"/>
            </w:pPr>
            <w:r w:rsidRPr="00703EBC">
              <w:t>Issues</w:t>
            </w:r>
          </w:p>
        </w:tc>
        <w:tc>
          <w:tcPr>
            <w:tcW w:w="3709" w:type="dxa"/>
          </w:tcPr>
          <w:p w14:paraId="2FA1FB79" w14:textId="77777777" w:rsidR="00B778FF" w:rsidRPr="00703EBC" w:rsidRDefault="00B778FF" w:rsidP="002214BE">
            <w:pPr>
              <w:jc w:val="center"/>
              <w:cnfStyle w:val="100000000000" w:firstRow="1" w:lastRow="0" w:firstColumn="0" w:lastColumn="0" w:oddVBand="0" w:evenVBand="0" w:oddHBand="0" w:evenHBand="0" w:firstRowFirstColumn="0" w:firstRowLastColumn="0" w:lastRowFirstColumn="0" w:lastRowLastColumn="0"/>
            </w:pPr>
            <w:r w:rsidRPr="00703EBC">
              <w:t>Comments/Recommendations</w:t>
            </w:r>
          </w:p>
        </w:tc>
      </w:tr>
      <w:tr w:rsidR="00B778FF" w:rsidRPr="00703EBC" w14:paraId="56BDFDB3" w14:textId="77777777" w:rsidTr="00B77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14:paraId="7255CE71" w14:textId="76BB9B45" w:rsidR="00B778FF" w:rsidRPr="00B778FF" w:rsidRDefault="00B778FF" w:rsidP="00B778FF">
            <w:r w:rsidRPr="00B778FF">
              <w:t>Legislative Issues</w:t>
            </w:r>
          </w:p>
        </w:tc>
        <w:tc>
          <w:tcPr>
            <w:tcW w:w="3386" w:type="dxa"/>
          </w:tcPr>
          <w:p w14:paraId="22D295FC" w14:textId="595A254D" w:rsidR="00B778FF" w:rsidRPr="005E4D23"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rPr>
            </w:pPr>
            <w:r>
              <w:t xml:space="preserve">• </w:t>
            </w:r>
            <w:r w:rsidRPr="005E4D23">
              <w:t>Second Schedule, paragraph (5) delete (-</w:t>
            </w:r>
            <w:proofErr w:type="gramStart"/>
            <w:r w:rsidRPr="005E4D23">
              <w:t xml:space="preserve">) </w:t>
            </w:r>
            <w:r>
              <w:rPr>
                <w:b/>
              </w:rPr>
              <w:t xml:space="preserve"> in</w:t>
            </w:r>
            <w:proofErr w:type="gramEnd"/>
            <w:r>
              <w:rPr>
                <w:b/>
              </w:rPr>
              <w:t xml:space="preserve"> “</w:t>
            </w:r>
            <w:r w:rsidRPr="005E4D23">
              <w:t>appoint-</w:t>
            </w:r>
            <w:proofErr w:type="spellStart"/>
            <w:r w:rsidRPr="005E4D23">
              <w:t>ment</w:t>
            </w:r>
            <w:proofErr w:type="spellEnd"/>
            <w:r>
              <w:rPr>
                <w:b/>
              </w:rPr>
              <w:t>:</w:t>
            </w:r>
          </w:p>
          <w:p w14:paraId="03D0B4B9" w14:textId="77777777" w:rsidR="00B778FF" w:rsidRPr="005E4D23"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rPr>
            </w:pPr>
            <w:r>
              <w:t xml:space="preserve">• </w:t>
            </w:r>
            <w:r w:rsidRPr="005E4D23">
              <w:t xml:space="preserve">Insert the word “not” in 2 (f), Part II, of the First Schedule. </w:t>
            </w:r>
          </w:p>
          <w:p w14:paraId="78B1DE51" w14:textId="77777777" w:rsidR="00B778FF" w:rsidRPr="005E4D23"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rPr>
            </w:pPr>
            <w:r>
              <w:t xml:space="preserve">• </w:t>
            </w:r>
            <w:r w:rsidRPr="005E4D23">
              <w:t>Section 19(1) (a) and (b) the numbering is off</w:t>
            </w:r>
          </w:p>
          <w:p w14:paraId="5AAAC3B5" w14:textId="77777777" w:rsidR="00B778FF" w:rsidRPr="005E4D23"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rPr>
            </w:pPr>
            <w:r>
              <w:t>•</w:t>
            </w:r>
            <w:r w:rsidRPr="005E4D23">
              <w:t>First Schedule, paragraph 4 (2) (f) there is a typographical error</w:t>
            </w:r>
          </w:p>
          <w:p w14:paraId="6422E160" w14:textId="77777777" w:rsidR="00B778FF" w:rsidRPr="008354F1" w:rsidRDefault="00B778FF" w:rsidP="002214BE">
            <w:pPr>
              <w:cnfStyle w:val="000000100000" w:firstRow="0" w:lastRow="0" w:firstColumn="0" w:lastColumn="0" w:oddVBand="0" w:evenVBand="0" w:oddHBand="1" w:evenHBand="0" w:firstRowFirstColumn="0" w:firstRowLastColumn="0" w:lastRowFirstColumn="0" w:lastRowLastColumn="0"/>
              <w:rPr>
                <w:b/>
              </w:rPr>
            </w:pPr>
            <w:r w:rsidRPr="008354F1">
              <w:t>The text needs to go back to the margin for clarity in the following sections.</w:t>
            </w:r>
          </w:p>
          <w:p w14:paraId="292D0BEC" w14:textId="77777777" w:rsidR="00B778FF" w:rsidRDefault="00B778FF" w:rsidP="002214BE">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b/>
              </w:rPr>
            </w:pPr>
            <w:r>
              <w:t xml:space="preserve">Part III- section 9(8) </w:t>
            </w:r>
            <w:r w:rsidRPr="00AF3474">
              <w:t>(c)</w:t>
            </w:r>
          </w:p>
          <w:p w14:paraId="402F33BA" w14:textId="77777777" w:rsidR="00B778FF" w:rsidRPr="005E4D23" w:rsidRDefault="00B778FF" w:rsidP="002214BE">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5E4D23">
              <w:t>Part III-section 10 (7) (e)</w:t>
            </w:r>
          </w:p>
          <w:p w14:paraId="6DE03BFC" w14:textId="77777777" w:rsidR="00B778FF" w:rsidRPr="00AF3474" w:rsidRDefault="00B778FF" w:rsidP="002214BE">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AF3474">
              <w:t>Part VII-section 31 (1) (b)</w:t>
            </w:r>
          </w:p>
          <w:p w14:paraId="4E6A3572" w14:textId="77777777" w:rsidR="00B778FF" w:rsidRPr="005E4D23" w:rsidRDefault="00B778FF" w:rsidP="002214BE">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rPr>
                <w:b/>
              </w:rPr>
            </w:pPr>
            <w:r>
              <w:t xml:space="preserve">Section 19 (2) (b) </w:t>
            </w:r>
            <w:r w:rsidRPr="005E4D23">
              <w:t>after the comma, the text should go back to the margin.</w:t>
            </w:r>
          </w:p>
          <w:p w14:paraId="30278F19" w14:textId="41587210" w:rsidR="00B778FF" w:rsidRPr="00703EBC" w:rsidRDefault="00B778FF" w:rsidP="00B778FF">
            <w:pPr>
              <w:pStyle w:val="ListParagraph"/>
              <w:numPr>
                <w:ilvl w:val="0"/>
                <w:numId w:val="9"/>
              </w:numPr>
              <w:spacing w:after="160" w:line="259" w:lineRule="auto"/>
              <w:cnfStyle w:val="000000100000" w:firstRow="0" w:lastRow="0" w:firstColumn="0" w:lastColumn="0" w:oddVBand="0" w:evenVBand="0" w:oddHBand="1" w:evenHBand="0" w:firstRowFirstColumn="0" w:firstRowLastColumn="0" w:lastRowFirstColumn="0" w:lastRowLastColumn="0"/>
            </w:pPr>
            <w:r w:rsidRPr="00AF3474">
              <w:t>First Schedule, paragraph 3 (c)</w:t>
            </w:r>
          </w:p>
        </w:tc>
        <w:tc>
          <w:tcPr>
            <w:tcW w:w="3442" w:type="dxa"/>
          </w:tcPr>
          <w:p w14:paraId="10B1224E" w14:textId="77777777" w:rsidR="00B778FF"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rPr>
            </w:pPr>
            <w:r w:rsidRPr="00AF3474">
              <w:t>There were some editorial drafting issues for consideration which were noted in the Act:</w:t>
            </w:r>
          </w:p>
          <w:p w14:paraId="767DD244" w14:textId="77777777" w:rsidR="00B778FF" w:rsidRPr="008354F1" w:rsidRDefault="00B778FF" w:rsidP="002214BE">
            <w:pPr>
              <w:pStyle w:val="ListParagraph"/>
              <w:cnfStyle w:val="000000100000" w:firstRow="0" w:lastRow="0" w:firstColumn="0" w:lastColumn="0" w:oddVBand="0" w:evenVBand="0" w:oddHBand="1" w:evenHBand="0" w:firstRowFirstColumn="0" w:firstRowLastColumn="0" w:lastRowFirstColumn="0" w:lastRowLastColumn="0"/>
            </w:pPr>
          </w:p>
          <w:p w14:paraId="4EE114A7" w14:textId="77777777" w:rsidR="00B778FF" w:rsidRPr="0070682A" w:rsidRDefault="00B778FF" w:rsidP="002214BE">
            <w:pPr>
              <w:pStyle w:val="ListParagraph"/>
              <w:cnfStyle w:val="000000100000" w:firstRow="0" w:lastRow="0" w:firstColumn="0" w:lastColumn="0" w:oddVBand="0" w:evenVBand="0" w:oddHBand="1" w:evenHBand="0" w:firstRowFirstColumn="0" w:firstRowLastColumn="0" w:lastRowFirstColumn="0" w:lastRowLastColumn="0"/>
              <w:rPr>
                <w:b/>
                <w:bCs/>
              </w:rPr>
            </w:pPr>
          </w:p>
        </w:tc>
        <w:tc>
          <w:tcPr>
            <w:tcW w:w="3709" w:type="dxa"/>
          </w:tcPr>
          <w:p w14:paraId="1F994A24" w14:textId="42C68D20" w:rsidR="00B778FF" w:rsidRPr="00703EBC" w:rsidRDefault="00B778FF" w:rsidP="002214BE">
            <w:pPr>
              <w:cnfStyle w:val="000000100000" w:firstRow="0" w:lastRow="0" w:firstColumn="0" w:lastColumn="0" w:oddVBand="0" w:evenVBand="0" w:oddHBand="1" w:evenHBand="0" w:firstRowFirstColumn="0" w:firstRowLastColumn="0" w:lastRowFirstColumn="0" w:lastRowLastColumn="0"/>
            </w:pPr>
            <w:r>
              <w:t>Review the draft to amend editorial issues.</w:t>
            </w:r>
          </w:p>
        </w:tc>
      </w:tr>
      <w:tr w:rsidR="00B778FF" w:rsidRPr="00703EBC" w14:paraId="4CA57BE6" w14:textId="77777777" w:rsidTr="00B778FF">
        <w:tc>
          <w:tcPr>
            <w:cnfStyle w:val="001000000000" w:firstRow="0" w:lastRow="0" w:firstColumn="1" w:lastColumn="0" w:oddVBand="0" w:evenVBand="0" w:oddHBand="0" w:evenHBand="0" w:firstRowFirstColumn="0" w:firstRowLastColumn="0" w:lastRowFirstColumn="0" w:lastRowLastColumn="0"/>
            <w:tcW w:w="2413" w:type="dxa"/>
            <w:vMerge w:val="restart"/>
          </w:tcPr>
          <w:p w14:paraId="35C56B20" w14:textId="77777777" w:rsidR="00B778FF" w:rsidRDefault="00B778FF" w:rsidP="00B778FF">
            <w:pPr>
              <w:jc w:val="center"/>
            </w:pPr>
          </w:p>
          <w:p w14:paraId="71AB7E00" w14:textId="77777777" w:rsidR="00B778FF" w:rsidRDefault="00B778FF" w:rsidP="00B778FF">
            <w:pPr>
              <w:jc w:val="center"/>
            </w:pPr>
          </w:p>
          <w:p w14:paraId="5B0DAE13" w14:textId="77777777" w:rsidR="00B778FF" w:rsidRDefault="00B778FF" w:rsidP="00B778FF">
            <w:pPr>
              <w:jc w:val="center"/>
            </w:pPr>
          </w:p>
          <w:p w14:paraId="36DBF448" w14:textId="77777777" w:rsidR="00B778FF" w:rsidRDefault="00B778FF" w:rsidP="00B778FF">
            <w:pPr>
              <w:jc w:val="center"/>
            </w:pPr>
          </w:p>
          <w:p w14:paraId="2F373EC8" w14:textId="77777777" w:rsidR="00B778FF" w:rsidRDefault="00B778FF" w:rsidP="00B778FF">
            <w:pPr>
              <w:jc w:val="center"/>
            </w:pPr>
          </w:p>
          <w:p w14:paraId="75704336" w14:textId="77777777" w:rsidR="00B778FF" w:rsidRDefault="00B778FF" w:rsidP="00B778FF">
            <w:pPr>
              <w:jc w:val="center"/>
            </w:pPr>
          </w:p>
          <w:p w14:paraId="6ECF7689" w14:textId="77777777" w:rsidR="00B778FF" w:rsidRDefault="00B778FF" w:rsidP="00B778FF">
            <w:pPr>
              <w:jc w:val="center"/>
            </w:pPr>
          </w:p>
          <w:p w14:paraId="280352CB" w14:textId="77777777" w:rsidR="00B778FF" w:rsidRDefault="00B778FF" w:rsidP="00B778FF">
            <w:pPr>
              <w:jc w:val="center"/>
            </w:pPr>
          </w:p>
          <w:p w14:paraId="228BF450" w14:textId="77777777" w:rsidR="00B778FF" w:rsidRDefault="00B778FF" w:rsidP="00B778FF">
            <w:pPr>
              <w:jc w:val="center"/>
            </w:pPr>
          </w:p>
          <w:p w14:paraId="6E286E3C" w14:textId="77777777" w:rsidR="00B778FF" w:rsidRDefault="00B778FF" w:rsidP="00B778FF">
            <w:pPr>
              <w:jc w:val="center"/>
            </w:pPr>
          </w:p>
          <w:p w14:paraId="2BB7E237" w14:textId="77777777" w:rsidR="00B778FF" w:rsidRDefault="00B778FF" w:rsidP="00B778FF">
            <w:pPr>
              <w:jc w:val="center"/>
            </w:pPr>
          </w:p>
          <w:p w14:paraId="486E0F94" w14:textId="77777777" w:rsidR="00B778FF" w:rsidRDefault="00B778FF" w:rsidP="00B778FF">
            <w:pPr>
              <w:jc w:val="center"/>
            </w:pPr>
          </w:p>
          <w:p w14:paraId="224154CB" w14:textId="26AA92A6" w:rsidR="00B778FF" w:rsidRPr="00B778FF" w:rsidRDefault="00B778FF" w:rsidP="00B778FF">
            <w:pPr>
              <w:jc w:val="center"/>
            </w:pPr>
            <w:r w:rsidRPr="00B778FF">
              <w:t>Administrative issues</w:t>
            </w:r>
          </w:p>
        </w:tc>
        <w:tc>
          <w:tcPr>
            <w:tcW w:w="3386" w:type="dxa"/>
          </w:tcPr>
          <w:p w14:paraId="1F640320" w14:textId="724499EF" w:rsidR="00B778FF" w:rsidRDefault="00B778FF" w:rsidP="00B778FF">
            <w:pPr>
              <w:cnfStyle w:val="000000000000" w:firstRow="0" w:lastRow="0" w:firstColumn="0" w:lastColumn="0" w:oddVBand="0" w:evenVBand="0" w:oddHBand="0" w:evenHBand="0" w:firstRowFirstColumn="0" w:firstRowLastColumn="0" w:lastRowFirstColumn="0" w:lastRowLastColumn="0"/>
            </w:pPr>
            <w:r w:rsidRPr="00B778FF">
              <w:rPr>
                <w:b/>
              </w:rPr>
              <w:lastRenderedPageBreak/>
              <w:t>1.</w:t>
            </w:r>
            <w:r>
              <w:t xml:space="preserve"> Section 8-</w:t>
            </w:r>
            <w:r w:rsidRPr="00AF3474">
              <w:t>1.</w:t>
            </w:r>
            <w:r w:rsidRPr="00AF3474">
              <w:tab/>
            </w:r>
          </w:p>
          <w:p w14:paraId="5AD8B592" w14:textId="77777777" w:rsidR="00B778FF" w:rsidRPr="002214BE" w:rsidRDefault="00B778FF" w:rsidP="00B778FF">
            <w:pPr>
              <w:cnfStyle w:val="000000000000" w:firstRow="0" w:lastRow="0" w:firstColumn="0" w:lastColumn="0" w:oddVBand="0" w:evenVBand="0" w:oddHBand="0" w:evenHBand="0" w:firstRowFirstColumn="0" w:firstRowLastColumn="0" w:lastRowFirstColumn="0" w:lastRowLastColumn="0"/>
              <w:rPr>
                <w:b/>
              </w:rPr>
            </w:pPr>
            <w:r w:rsidRPr="00AF3474">
              <w:rPr>
                <w:i/>
              </w:rPr>
              <w:t>“</w:t>
            </w:r>
            <w:r w:rsidRPr="002214BE">
              <w:rPr>
                <w:b/>
                <w:i/>
              </w:rPr>
              <w:t xml:space="preserve">the authority shall in the exercise of its functions and in the implementation of the provisions of this Act, </w:t>
            </w:r>
            <w:proofErr w:type="gramStart"/>
            <w:r w:rsidRPr="002214BE">
              <w:rPr>
                <w:b/>
                <w:i/>
              </w:rPr>
              <w:t>cooperate  with</w:t>
            </w:r>
            <w:proofErr w:type="gramEnd"/>
            <w:r w:rsidRPr="002214BE">
              <w:rPr>
                <w:b/>
                <w:i/>
              </w:rPr>
              <w:t xml:space="preserve"> other public bodies</w:t>
            </w:r>
            <w:r w:rsidRPr="002214BE">
              <w:rPr>
                <w:b/>
              </w:rPr>
              <w:t>”.</w:t>
            </w:r>
          </w:p>
          <w:p w14:paraId="3F5EBDE6" w14:textId="77777777" w:rsidR="00B778FF" w:rsidRDefault="00B778FF" w:rsidP="002214BE">
            <w:pPr>
              <w:pStyle w:val="ListParagraph"/>
              <w:cnfStyle w:val="000000000000" w:firstRow="0" w:lastRow="0" w:firstColumn="0" w:lastColumn="0" w:oddVBand="0" w:evenVBand="0" w:oddHBand="0" w:evenHBand="0" w:firstRowFirstColumn="0" w:firstRowLastColumn="0" w:lastRowFirstColumn="0" w:lastRowLastColumn="0"/>
            </w:pPr>
          </w:p>
        </w:tc>
        <w:tc>
          <w:tcPr>
            <w:tcW w:w="3442" w:type="dxa"/>
          </w:tcPr>
          <w:p w14:paraId="7B9F535D" w14:textId="77777777" w:rsidR="00B778FF" w:rsidRPr="00B778FF" w:rsidRDefault="00B778FF" w:rsidP="00B778F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rPr>
            </w:pPr>
            <w:r>
              <w:t>How is the cooperation envisaged by the Bill to be operationalized?</w:t>
            </w:r>
          </w:p>
          <w:p w14:paraId="30A7E557" w14:textId="77777777" w:rsidR="00B778FF" w:rsidRPr="00AF3474" w:rsidRDefault="00B778FF" w:rsidP="002214BE">
            <w:pPr>
              <w:pStyle w:val="ListParagraph"/>
              <w:cnfStyle w:val="000000000000" w:firstRow="0" w:lastRow="0" w:firstColumn="0" w:lastColumn="0" w:oddVBand="0" w:evenVBand="0" w:oddHBand="0" w:evenHBand="0" w:firstRowFirstColumn="0" w:firstRowLastColumn="0" w:lastRowFirstColumn="0" w:lastRowLastColumn="0"/>
            </w:pPr>
          </w:p>
        </w:tc>
        <w:tc>
          <w:tcPr>
            <w:tcW w:w="3709" w:type="dxa"/>
          </w:tcPr>
          <w:p w14:paraId="0FACA6E8" w14:textId="4CD26C9F" w:rsidR="00B778FF" w:rsidRDefault="00B778FF" w:rsidP="00B778FF">
            <w:pPr>
              <w:cnfStyle w:val="000000000000" w:firstRow="0" w:lastRow="0" w:firstColumn="0" w:lastColumn="0" w:oddVBand="0" w:evenVBand="0" w:oddHBand="0" w:evenHBand="0" w:firstRowFirstColumn="0" w:firstRowLastColumn="0" w:lastRowFirstColumn="0" w:lastRowLastColumn="0"/>
            </w:pPr>
            <w:r w:rsidRPr="00462753">
              <w:rPr>
                <w:b/>
                <w:bCs/>
              </w:rPr>
              <w:t>1</w:t>
            </w:r>
            <w:r>
              <w:t xml:space="preserve">. It is not clear what cooperate means. It is assumed that there will be some other subsidiary document which will set out the details of how the cooperation is to be </w:t>
            </w:r>
            <w:proofErr w:type="gramStart"/>
            <w:r>
              <w:t>effected</w:t>
            </w:r>
            <w:proofErr w:type="gramEnd"/>
            <w:r>
              <w:t xml:space="preserve">, or perhaps the agreements will be done bilaterally. One assumes that the relationship will be reciprocal. It is not clear whether the law or other instruments governing the other </w:t>
            </w:r>
            <w:r>
              <w:lastRenderedPageBreak/>
              <w:t>public bodies also impose a corresponding responsibility.</w:t>
            </w:r>
          </w:p>
          <w:p w14:paraId="34160AB4" w14:textId="77777777" w:rsidR="00B778FF" w:rsidRDefault="00B778FF" w:rsidP="002214BE">
            <w:pPr>
              <w:cnfStyle w:val="000000000000" w:firstRow="0" w:lastRow="0" w:firstColumn="0" w:lastColumn="0" w:oddVBand="0" w:evenVBand="0" w:oddHBand="0" w:evenHBand="0" w:firstRowFirstColumn="0" w:firstRowLastColumn="0" w:lastRowFirstColumn="0" w:lastRowLastColumn="0"/>
            </w:pPr>
          </w:p>
        </w:tc>
      </w:tr>
      <w:tr w:rsidR="00B778FF" w:rsidRPr="00703EBC" w14:paraId="44F9328E" w14:textId="77777777" w:rsidTr="00B77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vMerge/>
          </w:tcPr>
          <w:p w14:paraId="33250B8E" w14:textId="5B2E9F85" w:rsidR="00B778FF" w:rsidRDefault="00B778FF" w:rsidP="00B778FF">
            <w:pPr>
              <w:pStyle w:val="ListParagraph"/>
            </w:pPr>
          </w:p>
        </w:tc>
        <w:tc>
          <w:tcPr>
            <w:tcW w:w="3386" w:type="dxa"/>
          </w:tcPr>
          <w:p w14:paraId="40E081F5" w14:textId="77777777" w:rsidR="00B778FF" w:rsidRDefault="00B778FF" w:rsidP="00B778FF">
            <w:pPr>
              <w:cnfStyle w:val="000000100000" w:firstRow="0" w:lastRow="0" w:firstColumn="0" w:lastColumn="0" w:oddVBand="0" w:evenVBand="0" w:oddHBand="1" w:evenHBand="0" w:firstRowFirstColumn="0" w:firstRowLastColumn="0" w:lastRowFirstColumn="0" w:lastRowLastColumn="0"/>
            </w:pPr>
          </w:p>
          <w:p w14:paraId="667710A0" w14:textId="7FE67DB9" w:rsidR="00B778FF" w:rsidRPr="00703EBC" w:rsidRDefault="00B778FF" w:rsidP="00B778FF">
            <w:pPr>
              <w:cnfStyle w:val="000000100000" w:firstRow="0" w:lastRow="0" w:firstColumn="0" w:lastColumn="0" w:oddVBand="0" w:evenVBand="0" w:oddHBand="1" w:evenHBand="0" w:firstRowFirstColumn="0" w:firstRowLastColumn="0" w:lastRowFirstColumn="0" w:lastRowLastColumn="0"/>
            </w:pPr>
            <w:r w:rsidRPr="00B778FF">
              <w:rPr>
                <w:b/>
              </w:rPr>
              <w:t>2.</w:t>
            </w:r>
            <w:r>
              <w:t xml:space="preserve"> </w:t>
            </w:r>
            <w:r w:rsidRPr="00703EBC">
              <w:t>Sections 14 and 20- Cancellation of enrolment and Cancellation of the National Identification Card (NIC).</w:t>
            </w:r>
          </w:p>
          <w:p w14:paraId="00C5AF5B" w14:textId="77777777" w:rsidR="00B778FF" w:rsidRPr="002214BE" w:rsidRDefault="00B778FF" w:rsidP="002214BE">
            <w:pPr>
              <w:cnfStyle w:val="000000100000" w:firstRow="0" w:lastRow="0" w:firstColumn="0" w:lastColumn="0" w:oddVBand="0" w:evenVBand="0" w:oddHBand="1" w:evenHBand="0" w:firstRowFirstColumn="0" w:firstRowLastColumn="0" w:lastRowFirstColumn="0" w:lastRowLastColumn="0"/>
              <w:rPr>
                <w:b/>
                <w:i/>
              </w:rPr>
            </w:pPr>
            <w:r w:rsidRPr="002214BE">
              <w:rPr>
                <w:b/>
                <w:i/>
              </w:rPr>
              <w:t>14.—(1) The Authority shall cancel the enrolment of an enrolled individual if—(a) the Authority becomes aware that, having regard to section 4, the individual is not eligible for enrolment for the purposes of this Act; or(b) the individual requests in writing to the Authority, accompanied by the National Identification Card issued to that individual, that the enrolment be cancelled.(2) The Authority may cancel the enrolment of an enrolled individual if the identity information stored in the National Identification Databases is inaccurate.</w:t>
            </w:r>
          </w:p>
          <w:p w14:paraId="3AE4F8BF" w14:textId="77777777" w:rsidR="00B778FF" w:rsidRPr="002214BE" w:rsidRDefault="00B778FF" w:rsidP="002214BE">
            <w:pPr>
              <w:cnfStyle w:val="000000100000" w:firstRow="0" w:lastRow="0" w:firstColumn="0" w:lastColumn="0" w:oddVBand="0" w:evenVBand="0" w:oddHBand="1" w:evenHBand="0" w:firstRowFirstColumn="0" w:firstRowLastColumn="0" w:lastRowFirstColumn="0" w:lastRowLastColumn="0"/>
              <w:rPr>
                <w:b/>
                <w:i/>
              </w:rPr>
            </w:pPr>
            <w:r w:rsidRPr="002214BE">
              <w:rPr>
                <w:b/>
                <w:i/>
              </w:rPr>
              <w:t>20.</w:t>
            </w:r>
            <w:proofErr w:type="gramStart"/>
            <w:r w:rsidRPr="002214BE">
              <w:rPr>
                <w:b/>
                <w:i/>
              </w:rPr>
              <w:t>—(</w:t>
            </w:r>
            <w:proofErr w:type="gramEnd"/>
            <w:r w:rsidRPr="002214BE">
              <w:rPr>
                <w:b/>
                <w:i/>
              </w:rPr>
              <w:t>1) The Authority may cancel a National Identification Card if satisfied that—(a) the National Identification Card was issued based on inaccurate or incomplete identity information;(b) the Card was issued in error;(c) there is a defect in the form of the Card; …</w:t>
            </w:r>
          </w:p>
          <w:p w14:paraId="1AF6B395" w14:textId="77777777" w:rsidR="00B778FF" w:rsidRPr="00703EBC" w:rsidRDefault="00B778FF" w:rsidP="002214BE">
            <w:pPr>
              <w:cnfStyle w:val="000000100000" w:firstRow="0" w:lastRow="0" w:firstColumn="0" w:lastColumn="0" w:oddVBand="0" w:evenVBand="0" w:oddHBand="1" w:evenHBand="0" w:firstRowFirstColumn="0" w:firstRowLastColumn="0" w:lastRowFirstColumn="0" w:lastRowLastColumn="0"/>
            </w:pPr>
          </w:p>
        </w:tc>
        <w:tc>
          <w:tcPr>
            <w:tcW w:w="3442" w:type="dxa"/>
          </w:tcPr>
          <w:p w14:paraId="17CA8DA1" w14:textId="77777777" w:rsidR="00B778FF" w:rsidRPr="00B778FF" w:rsidRDefault="00B778FF" w:rsidP="00B778FF">
            <w:pPr>
              <w:pStyle w:val="ListParagraph"/>
              <w:cnfStyle w:val="000000100000" w:firstRow="0" w:lastRow="0" w:firstColumn="0" w:lastColumn="0" w:oddVBand="0" w:evenVBand="0" w:oddHBand="1" w:evenHBand="0" w:firstRowFirstColumn="0" w:firstRowLastColumn="0" w:lastRowFirstColumn="0" w:lastRowLastColumn="0"/>
              <w:rPr>
                <w:b/>
              </w:rPr>
            </w:pPr>
          </w:p>
          <w:p w14:paraId="60605420" w14:textId="0E3C11D4" w:rsidR="00B778FF" w:rsidRPr="00B778FF" w:rsidRDefault="00B778FF" w:rsidP="00B778FF">
            <w:pPr>
              <w:cnfStyle w:val="000000100000" w:firstRow="0" w:lastRow="0" w:firstColumn="0" w:lastColumn="0" w:oddVBand="0" w:evenVBand="0" w:oddHBand="1" w:evenHBand="0" w:firstRowFirstColumn="0" w:firstRowLastColumn="0" w:lastRowFirstColumn="0" w:lastRowLastColumn="0"/>
              <w:rPr>
                <w:b/>
              </w:rPr>
            </w:pPr>
            <w:r>
              <w:rPr>
                <w:b/>
              </w:rPr>
              <w:t xml:space="preserve">2. </w:t>
            </w:r>
            <w:r w:rsidRPr="00703EBC">
              <w:t>Where the Commissioner allows the NIN to be used in place of the TRN, where a NIN is cancelled, renewed and replaced TAJ should be notified.</w:t>
            </w:r>
          </w:p>
          <w:p w14:paraId="6A883809" w14:textId="77777777" w:rsidR="00B778FF" w:rsidRPr="00AF3474" w:rsidRDefault="00B778FF" w:rsidP="002214BE">
            <w:pPr>
              <w:pStyle w:val="ListParagraph"/>
              <w:cnfStyle w:val="000000100000" w:firstRow="0" w:lastRow="0" w:firstColumn="0" w:lastColumn="0" w:oddVBand="0" w:evenVBand="0" w:oddHBand="1" w:evenHBand="0" w:firstRowFirstColumn="0" w:firstRowLastColumn="0" w:lastRowFirstColumn="0" w:lastRowLastColumn="0"/>
            </w:pPr>
          </w:p>
          <w:p w14:paraId="6065ACA2" w14:textId="77777777" w:rsidR="00B778FF" w:rsidRPr="00703EBC" w:rsidRDefault="00B778FF" w:rsidP="002214BE">
            <w:pPr>
              <w:pStyle w:val="ListParagraph"/>
              <w:ind w:left="1440"/>
              <w:cnfStyle w:val="000000100000" w:firstRow="0" w:lastRow="0" w:firstColumn="0" w:lastColumn="0" w:oddVBand="0" w:evenVBand="0" w:oddHBand="1" w:evenHBand="0" w:firstRowFirstColumn="0" w:firstRowLastColumn="0" w:lastRowFirstColumn="0" w:lastRowLastColumn="0"/>
              <w:rPr>
                <w:b/>
              </w:rPr>
            </w:pPr>
          </w:p>
        </w:tc>
        <w:tc>
          <w:tcPr>
            <w:tcW w:w="3709" w:type="dxa"/>
          </w:tcPr>
          <w:p w14:paraId="6951014A" w14:textId="77777777" w:rsidR="00B778FF" w:rsidRDefault="00B778FF" w:rsidP="002214BE">
            <w:pPr>
              <w:cnfStyle w:val="000000100000" w:firstRow="0" w:lastRow="0" w:firstColumn="0" w:lastColumn="0" w:oddVBand="0" w:evenVBand="0" w:oddHBand="1" w:evenHBand="0" w:firstRowFirstColumn="0" w:firstRowLastColumn="0" w:lastRowFirstColumn="0" w:lastRowLastColumn="0"/>
            </w:pPr>
          </w:p>
          <w:p w14:paraId="63AB5B22" w14:textId="77777777" w:rsidR="00B778FF" w:rsidRDefault="00B778FF" w:rsidP="002214BE">
            <w:pPr>
              <w:cnfStyle w:val="000000100000" w:firstRow="0" w:lastRow="0" w:firstColumn="0" w:lastColumn="0" w:oddVBand="0" w:evenVBand="0" w:oddHBand="1" w:evenHBand="0" w:firstRowFirstColumn="0" w:firstRowLastColumn="0" w:lastRowFirstColumn="0" w:lastRowLastColumn="0"/>
            </w:pPr>
            <w:r>
              <w:rPr>
                <w:b/>
                <w:bCs/>
              </w:rPr>
              <w:t>2.</w:t>
            </w:r>
            <w:r>
              <w:t>Section 14 requires clarity on what the process or guidance should be in circumstances where for example a public body such as the TAJ allows the use of the NIN in accordance with Section…</w:t>
            </w:r>
            <w:proofErr w:type="gramStart"/>
            <w:r>
              <w:t>. ,</w:t>
            </w:r>
            <w:proofErr w:type="gramEnd"/>
            <w:r>
              <w:t xml:space="preserve"> as a substitute for the </w:t>
            </w:r>
            <w:proofErr w:type="spellStart"/>
            <w:r>
              <w:t>TRN.In</w:t>
            </w:r>
            <w:proofErr w:type="spellEnd"/>
            <w:r>
              <w:t xml:space="preserve"> those circumstances, it should be clear on whether timely notice will be communicated to TAJ by the Authority.</w:t>
            </w:r>
          </w:p>
          <w:p w14:paraId="3FD40CBB" w14:textId="5C1B1809" w:rsidR="00B778FF" w:rsidRPr="001C3FA4" w:rsidRDefault="00B778FF" w:rsidP="002214BE">
            <w:pPr>
              <w:cnfStyle w:val="000000100000" w:firstRow="0" w:lastRow="0" w:firstColumn="0" w:lastColumn="0" w:oddVBand="0" w:evenVBand="0" w:oddHBand="1" w:evenHBand="0" w:firstRowFirstColumn="0" w:firstRowLastColumn="0" w:lastRowFirstColumn="0" w:lastRowLastColumn="0"/>
            </w:pPr>
            <w:r>
              <w:t>It is recommended that as such an occurrence would be disruptive to the operations of TAJ, clear guidance including reasonably notice periods should be provided for in the legislation.</w:t>
            </w:r>
          </w:p>
        </w:tc>
      </w:tr>
      <w:tr w:rsidR="00BA4C50" w:rsidRPr="002214BE" w14:paraId="72496F38" w14:textId="77777777" w:rsidTr="00B778FF">
        <w:tc>
          <w:tcPr>
            <w:cnfStyle w:val="001000000000" w:firstRow="0" w:lastRow="0" w:firstColumn="1" w:lastColumn="0" w:oddVBand="0" w:evenVBand="0" w:oddHBand="0" w:evenHBand="0" w:firstRowFirstColumn="0" w:firstRowLastColumn="0" w:lastRowFirstColumn="0" w:lastRowLastColumn="0"/>
            <w:tcW w:w="2413" w:type="dxa"/>
            <w:vMerge w:val="restart"/>
          </w:tcPr>
          <w:p w14:paraId="50F15B9C" w14:textId="77777777" w:rsidR="00BA4C50" w:rsidRDefault="00BA4C50" w:rsidP="00B778FF"/>
          <w:p w14:paraId="5654453D" w14:textId="77777777" w:rsidR="00BA4C50" w:rsidRDefault="00BA4C50" w:rsidP="00B778FF"/>
          <w:p w14:paraId="79F11FA1" w14:textId="77777777" w:rsidR="00BA4C50" w:rsidRDefault="00BA4C50" w:rsidP="00B778FF"/>
          <w:p w14:paraId="325767F6" w14:textId="77777777" w:rsidR="00BA4C50" w:rsidRDefault="00BA4C50" w:rsidP="00B778FF"/>
          <w:p w14:paraId="5E3C2799" w14:textId="77777777" w:rsidR="00BA4C50" w:rsidRDefault="00BA4C50" w:rsidP="00B778FF"/>
          <w:p w14:paraId="44C8139D" w14:textId="77777777" w:rsidR="00BA4C50" w:rsidRDefault="00BA4C50" w:rsidP="00B778FF"/>
          <w:p w14:paraId="4AA5519D" w14:textId="77777777" w:rsidR="00BA4C50" w:rsidRDefault="00BA4C50" w:rsidP="00B778FF"/>
          <w:p w14:paraId="4338DD3C" w14:textId="77777777" w:rsidR="00BA4C50" w:rsidRDefault="00BA4C50" w:rsidP="00B778FF"/>
          <w:p w14:paraId="778C2188" w14:textId="77777777" w:rsidR="00BA4C50" w:rsidRDefault="00BA4C50" w:rsidP="00B778FF"/>
          <w:p w14:paraId="55EF5D55" w14:textId="77777777" w:rsidR="00BA4C50" w:rsidRDefault="00BA4C50" w:rsidP="00B778FF"/>
          <w:p w14:paraId="5ADC7AB1" w14:textId="77777777" w:rsidR="00BA4C50" w:rsidRDefault="00BA4C50" w:rsidP="00B778FF"/>
          <w:p w14:paraId="575BB8F5" w14:textId="77777777" w:rsidR="00BA4C50" w:rsidRDefault="00BA4C50" w:rsidP="00B778FF"/>
          <w:p w14:paraId="74D374FA" w14:textId="77777777" w:rsidR="00BA4C50" w:rsidRDefault="00BA4C50" w:rsidP="00B778FF"/>
          <w:p w14:paraId="6F3BA330" w14:textId="77777777" w:rsidR="00BA4C50" w:rsidRDefault="00BA4C50" w:rsidP="00B778FF"/>
          <w:p w14:paraId="5DF058C1" w14:textId="77777777" w:rsidR="00BA4C50" w:rsidRDefault="00BA4C50" w:rsidP="00B778FF"/>
          <w:p w14:paraId="6889C8BD" w14:textId="77777777" w:rsidR="00BA4C50" w:rsidRDefault="00BA4C50" w:rsidP="00B778FF"/>
          <w:p w14:paraId="08E6F8B1" w14:textId="77777777" w:rsidR="00BA4C50" w:rsidRDefault="00BA4C50" w:rsidP="00B778FF"/>
          <w:p w14:paraId="1FDF65B6" w14:textId="77777777" w:rsidR="00BA4C50" w:rsidRDefault="00BA4C50" w:rsidP="00B778FF"/>
          <w:p w14:paraId="3DE5A409" w14:textId="77091456" w:rsidR="00BA4C50" w:rsidRPr="00B778FF" w:rsidRDefault="00BA4C50" w:rsidP="00B778FF">
            <w:pPr>
              <w:rPr>
                <w:highlight w:val="yellow"/>
              </w:rPr>
            </w:pPr>
            <w:r w:rsidRPr="00B778FF">
              <w:t>Operational issues:</w:t>
            </w:r>
          </w:p>
        </w:tc>
        <w:tc>
          <w:tcPr>
            <w:tcW w:w="3386" w:type="dxa"/>
          </w:tcPr>
          <w:p w14:paraId="7D278430" w14:textId="20637FEC" w:rsidR="00BA4C50" w:rsidRPr="00BA4C50" w:rsidRDefault="00BA4C50" w:rsidP="00B778FF">
            <w:pPr>
              <w:cnfStyle w:val="000000000000" w:firstRow="0" w:lastRow="0" w:firstColumn="0" w:lastColumn="0" w:oddVBand="0" w:evenVBand="0" w:oddHBand="0" w:evenHBand="0" w:firstRowFirstColumn="0" w:firstRowLastColumn="0" w:lastRowFirstColumn="0" w:lastRowLastColumn="0"/>
            </w:pPr>
            <w:r w:rsidRPr="00BA4C50">
              <w:t>1. Section 25-</w:t>
            </w:r>
          </w:p>
          <w:p w14:paraId="700711B5" w14:textId="77777777" w:rsidR="00BA4C50" w:rsidRPr="00BA4C50" w:rsidRDefault="00BA4C50" w:rsidP="002214BE">
            <w:pPr>
              <w:cnfStyle w:val="000000000000" w:firstRow="0" w:lastRow="0" w:firstColumn="0" w:lastColumn="0" w:oddVBand="0" w:evenVBand="0" w:oddHBand="0" w:evenHBand="0" w:firstRowFirstColumn="0" w:firstRowLastColumn="0" w:lastRowFirstColumn="0" w:lastRowLastColumn="0"/>
              <w:rPr>
                <w:b/>
              </w:rPr>
            </w:pPr>
            <w:proofErr w:type="gramStart"/>
            <w:r w:rsidRPr="00BA4C50">
              <w:rPr>
                <w:b/>
                <w:i/>
              </w:rPr>
              <w:t>.—</w:t>
            </w:r>
            <w:proofErr w:type="gramEnd"/>
            <w:r w:rsidRPr="00BA4C50">
              <w:rPr>
                <w:b/>
                <w:i/>
              </w:rPr>
              <w:t>(1) The Authority may, in such form and manner as may be prescribed—(a) authenticate a National Identification Number assigned, or National Identification Card issued, to an individual; or(b) verify the identity information of an enrolled individual, at the request of that individual or an accredited third party with the consent of that individual</w:t>
            </w:r>
            <w:r w:rsidRPr="00BA4C50">
              <w:rPr>
                <w:b/>
              </w:rPr>
              <w:t>.</w:t>
            </w:r>
          </w:p>
          <w:p w14:paraId="5A3F38B9" w14:textId="77777777" w:rsidR="00BA4C50" w:rsidRPr="00BA4C50" w:rsidRDefault="00BA4C50" w:rsidP="002214BE">
            <w:pPr>
              <w:cnfStyle w:val="000000000000" w:firstRow="0" w:lastRow="0" w:firstColumn="0" w:lastColumn="0" w:oddVBand="0" w:evenVBand="0" w:oddHBand="0" w:evenHBand="0" w:firstRowFirstColumn="0" w:firstRowLastColumn="0" w:lastRowFirstColumn="0" w:lastRowLastColumn="0"/>
            </w:pPr>
          </w:p>
          <w:p w14:paraId="765FB9FD" w14:textId="77777777" w:rsidR="00BA4C50" w:rsidRPr="00BA4C50" w:rsidRDefault="00BA4C50" w:rsidP="002214BE">
            <w:pPr>
              <w:cnfStyle w:val="000000000000" w:firstRow="0" w:lastRow="0" w:firstColumn="0" w:lastColumn="0" w:oddVBand="0" w:evenVBand="0" w:oddHBand="0" w:evenHBand="0" w:firstRowFirstColumn="0" w:firstRowLastColumn="0" w:lastRowFirstColumn="0" w:lastRowLastColumn="0"/>
            </w:pPr>
          </w:p>
          <w:p w14:paraId="55BF1854" w14:textId="77777777" w:rsidR="00BA4C50" w:rsidRPr="00BA4C50" w:rsidRDefault="00BA4C50" w:rsidP="002214BE">
            <w:pPr>
              <w:cnfStyle w:val="000000000000" w:firstRow="0" w:lastRow="0" w:firstColumn="0" w:lastColumn="0" w:oddVBand="0" w:evenVBand="0" w:oddHBand="0" w:evenHBand="0" w:firstRowFirstColumn="0" w:firstRowLastColumn="0" w:lastRowFirstColumn="0" w:lastRowLastColumn="0"/>
            </w:pPr>
          </w:p>
          <w:p w14:paraId="066A8ED8" w14:textId="77777777" w:rsidR="00BA4C50" w:rsidRPr="00BA4C50" w:rsidRDefault="00BA4C50" w:rsidP="00BA4C50">
            <w:pPr>
              <w:ind w:left="45"/>
              <w:cnfStyle w:val="000000000000" w:firstRow="0" w:lastRow="0" w:firstColumn="0" w:lastColumn="0" w:oddVBand="0" w:evenVBand="0" w:oddHBand="0" w:evenHBand="0" w:firstRowFirstColumn="0" w:firstRowLastColumn="0" w:lastRowFirstColumn="0" w:lastRowLastColumn="0"/>
            </w:pPr>
          </w:p>
        </w:tc>
        <w:tc>
          <w:tcPr>
            <w:tcW w:w="3442" w:type="dxa"/>
          </w:tcPr>
          <w:p w14:paraId="798AC8C8" w14:textId="32976DE5" w:rsidR="00BA4C50" w:rsidRPr="00BA4C50" w:rsidRDefault="00BA4C50" w:rsidP="00BA4C50">
            <w:pPr>
              <w:cnfStyle w:val="000000000000" w:firstRow="0" w:lastRow="0" w:firstColumn="0" w:lastColumn="0" w:oddVBand="0" w:evenVBand="0" w:oddHBand="0" w:evenHBand="0" w:firstRowFirstColumn="0" w:firstRowLastColumn="0" w:lastRowFirstColumn="0" w:lastRowLastColumn="0"/>
              <w:rPr>
                <w:b/>
              </w:rPr>
            </w:pPr>
            <w:r w:rsidRPr="00BA4C50">
              <w:t>1. This section provides that in order to authenticate or verify the NIN, the Authority must procure the consent of the individual.</w:t>
            </w:r>
          </w:p>
          <w:p w14:paraId="5C458D87" w14:textId="0BD3848D" w:rsidR="00BA4C50" w:rsidRPr="00BA4C50" w:rsidRDefault="00BA4C50" w:rsidP="002214BE">
            <w:pPr>
              <w:cnfStyle w:val="000000000000" w:firstRow="0" w:lastRow="0" w:firstColumn="0" w:lastColumn="0" w:oddVBand="0" w:evenVBand="0" w:oddHBand="0" w:evenHBand="0" w:firstRowFirstColumn="0" w:firstRowLastColumn="0" w:lastRowFirstColumn="0" w:lastRowLastColumn="0"/>
              <w:rPr>
                <w:b/>
              </w:rPr>
            </w:pPr>
            <w:r w:rsidRPr="00BA4C50">
              <w:t xml:space="preserve">Based on the nature of tax matters (where </w:t>
            </w:r>
            <w:r w:rsidRPr="00BA4C50">
              <w:rPr>
                <w:b/>
              </w:rPr>
              <w:t>consent is not usually required), if the NIN is used by TAJ</w:t>
            </w:r>
            <w:r w:rsidRPr="00BA4C50">
              <w:t xml:space="preserve"> and the attendant pro</w:t>
            </w:r>
            <w:r w:rsidRPr="00BA4C50">
              <w:rPr>
                <w:b/>
              </w:rPr>
              <w:t xml:space="preserve">cedures are to be adopted, as there are functions of TAJ that are done without the consent of the </w:t>
            </w:r>
            <w:proofErr w:type="gramStart"/>
            <w:r w:rsidRPr="00BA4C50">
              <w:rPr>
                <w:b/>
              </w:rPr>
              <w:t>taxpayer</w:t>
            </w:r>
            <w:r w:rsidRPr="00BA4C50">
              <w:t xml:space="preserve"> ,</w:t>
            </w:r>
            <w:proofErr w:type="gramEnd"/>
            <w:r w:rsidRPr="00BA4C50">
              <w:t xml:space="preserve"> for example, “ involuntary” registration under the Revenue Administration Act, how will this work</w:t>
            </w:r>
          </w:p>
          <w:p w14:paraId="6650BCE4" w14:textId="77777777" w:rsidR="00BA4C50" w:rsidRPr="00BA4C50" w:rsidRDefault="00BA4C50" w:rsidP="00BA4C50">
            <w:pPr>
              <w:cnfStyle w:val="000000000000" w:firstRow="0" w:lastRow="0" w:firstColumn="0" w:lastColumn="0" w:oddVBand="0" w:evenVBand="0" w:oddHBand="0" w:evenHBand="0" w:firstRowFirstColumn="0" w:firstRowLastColumn="0" w:lastRowFirstColumn="0" w:lastRowLastColumn="0"/>
              <w:rPr>
                <w:b/>
              </w:rPr>
            </w:pPr>
          </w:p>
        </w:tc>
        <w:tc>
          <w:tcPr>
            <w:tcW w:w="3709" w:type="dxa"/>
          </w:tcPr>
          <w:p w14:paraId="406809B6" w14:textId="16FF45DE" w:rsidR="00BA4C50" w:rsidRPr="00BA4C50" w:rsidRDefault="00BA4C50" w:rsidP="00BA4C50">
            <w:pPr>
              <w:cnfStyle w:val="000000000000" w:firstRow="0" w:lastRow="0" w:firstColumn="0" w:lastColumn="0" w:oddVBand="0" w:evenVBand="0" w:oddHBand="0" w:evenHBand="0" w:firstRowFirstColumn="0" w:firstRowLastColumn="0" w:lastRowFirstColumn="0" w:lastRowLastColumn="0"/>
            </w:pPr>
            <w:r w:rsidRPr="00BA4C50">
              <w:t xml:space="preserve">Clarity is required either in this or subsidiary legislation so that the two authorities and the citizens of Jamaica may understand how the numbers are to function with each other </w:t>
            </w:r>
          </w:p>
        </w:tc>
      </w:tr>
      <w:tr w:rsidR="00BA4C50" w:rsidRPr="002214BE" w14:paraId="57295450" w14:textId="77777777" w:rsidTr="00B77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vMerge/>
          </w:tcPr>
          <w:p w14:paraId="491D4604" w14:textId="77777777" w:rsidR="00BA4C50" w:rsidRPr="00B778FF" w:rsidRDefault="00BA4C50" w:rsidP="00B778FF"/>
        </w:tc>
        <w:tc>
          <w:tcPr>
            <w:tcW w:w="3386" w:type="dxa"/>
          </w:tcPr>
          <w:p w14:paraId="5216F6EA"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r>
              <w:t xml:space="preserve">2.Schedule 4 </w:t>
            </w:r>
            <w:proofErr w:type="gramStart"/>
            <w:r>
              <w:t>–  Amendments</w:t>
            </w:r>
            <w:proofErr w:type="gramEnd"/>
            <w:r>
              <w:t xml:space="preserve"> to other Enactments</w:t>
            </w:r>
          </w:p>
          <w:p w14:paraId="560B47F2"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proofErr w:type="spellStart"/>
            <w:r>
              <w:t>i</w:t>
            </w:r>
            <w:proofErr w:type="spellEnd"/>
            <w:r>
              <w:t>.</w:t>
            </w:r>
            <w:r>
              <w:tab/>
              <w:t>Revenue Administration Act (RAA)</w:t>
            </w:r>
          </w:p>
          <w:p w14:paraId="09D4000F"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r>
              <w:t>The NIRA adds a new subsection section to 17(d)to be referred to as section 17D (9)</w:t>
            </w:r>
          </w:p>
          <w:p w14:paraId="0313E27F" w14:textId="2512FD91" w:rsidR="00BA4C50" w:rsidRDefault="00BA4C50" w:rsidP="00BA4C50">
            <w:pPr>
              <w:cnfStyle w:val="000000100000" w:firstRow="0" w:lastRow="0" w:firstColumn="0" w:lastColumn="0" w:oddVBand="0" w:evenVBand="0" w:oddHBand="1" w:evenHBand="0" w:firstRowFirstColumn="0" w:firstRowLastColumn="0" w:lastRowFirstColumn="0" w:lastRowLastColumn="0"/>
              <w:rPr>
                <w:highlight w:val="yellow"/>
              </w:rPr>
            </w:pPr>
            <w:r>
              <w:t>It states that “the Registration Authority may designate the taxpayer’s national identification number under the National Identification and Registration Act as the registration number assigned to the taxpayer for the purposes of this section.”</w:t>
            </w:r>
          </w:p>
        </w:tc>
        <w:tc>
          <w:tcPr>
            <w:tcW w:w="3442" w:type="dxa"/>
          </w:tcPr>
          <w:p w14:paraId="79B6A6B8" w14:textId="60524CB1" w:rsidR="00BA4C50" w:rsidRDefault="00BA4C50" w:rsidP="00BA4C50">
            <w:pPr>
              <w:cnfStyle w:val="000000100000" w:firstRow="0" w:lastRow="0" w:firstColumn="0" w:lastColumn="0" w:oddVBand="0" w:evenVBand="0" w:oddHBand="1" w:evenHBand="0" w:firstRowFirstColumn="0" w:firstRowLastColumn="0" w:lastRowFirstColumn="0" w:lastRowLastColumn="0"/>
            </w:pPr>
            <w:r>
              <w:t xml:space="preserve">2. This amendment poses issues on a legislative, administrative and operational basis. The language needs to be clarified so that it is clear to the reader that the intent of the section is to allow TAJ to choose at some later date to use the NIN as the TRN without the need for any legislative amendment. If this is the intention of the </w:t>
            </w:r>
            <w:proofErr w:type="gramStart"/>
            <w:r>
              <w:t>section</w:t>
            </w:r>
            <w:proofErr w:type="gramEnd"/>
            <w:r>
              <w:t xml:space="preserve"> then there are questions operationally and administratively of how the Authority envisages that such a change will works as the following questions are raised:</w:t>
            </w:r>
          </w:p>
          <w:p w14:paraId="6F26C818"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p>
          <w:p w14:paraId="3DD7263F"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r>
              <w:t>•</w:t>
            </w:r>
            <w:r>
              <w:tab/>
              <w:t>What (if any) is to be the further determination on the basis on which the Commissioner will make such a designation. Will this designation be on an individual basis based on the request of taxpayer or is it a general designation that will affect all TRN holders?</w:t>
            </w:r>
          </w:p>
          <w:p w14:paraId="01E31D86"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pPr>
          </w:p>
          <w:p w14:paraId="2CE4C9DA" w14:textId="19966AF5" w:rsidR="00BA4C50" w:rsidRDefault="00BA4C50" w:rsidP="00BA4C50">
            <w:pPr>
              <w:cnfStyle w:val="000000100000" w:firstRow="0" w:lastRow="0" w:firstColumn="0" w:lastColumn="0" w:oddVBand="0" w:evenVBand="0" w:oddHBand="1" w:evenHBand="0" w:firstRowFirstColumn="0" w:firstRowLastColumn="0" w:lastRowFirstColumn="0" w:lastRowLastColumn="0"/>
              <w:rPr>
                <w:highlight w:val="yellow"/>
              </w:rPr>
            </w:pPr>
            <w:r>
              <w:t>•</w:t>
            </w:r>
            <w:r>
              <w:tab/>
              <w:t xml:space="preserve">Note also that the basis of registration for the </w:t>
            </w:r>
            <w:proofErr w:type="gramStart"/>
            <w:r>
              <w:t>TRN  being</w:t>
            </w:r>
            <w:proofErr w:type="gramEnd"/>
            <w:r>
              <w:t xml:space="preserve"> “ every person who, pursuant to any enactment, is liable to pay taxes or to do any acts, matters or things in relation thereto, shall apply in the prescribed form…….”.  Therefore, individuals, organisations and other bodies, both local and overseas which meet the criteria in the RAA are required to have a TRN. The criteria for enrolment per the NIDS </w:t>
            </w:r>
            <w:proofErr w:type="gramStart"/>
            <w:r>
              <w:t>bill</w:t>
            </w:r>
            <w:proofErr w:type="gramEnd"/>
            <w:r>
              <w:t xml:space="preserve"> however, is voluntary, and is based on either being an ordinarily resident individual of Jamaica or a Jamaican citizen, the NIDS enrolment population is therefore to be a mere subset of the TRN population.</w:t>
            </w:r>
          </w:p>
        </w:tc>
        <w:tc>
          <w:tcPr>
            <w:tcW w:w="3709" w:type="dxa"/>
          </w:tcPr>
          <w:p w14:paraId="60206E03" w14:textId="77777777" w:rsidR="00BA4C50" w:rsidRDefault="00BA4C50" w:rsidP="00BA4C50">
            <w:pPr>
              <w:cnfStyle w:val="000000100000" w:firstRow="0" w:lastRow="0" w:firstColumn="0" w:lastColumn="0" w:oddVBand="0" w:evenVBand="0" w:oddHBand="1" w:evenHBand="0" w:firstRowFirstColumn="0" w:firstRowLastColumn="0" w:lastRowFirstColumn="0" w:lastRowLastColumn="0"/>
              <w:rPr>
                <w:highlight w:val="yellow"/>
              </w:rPr>
            </w:pPr>
          </w:p>
        </w:tc>
      </w:tr>
    </w:tbl>
    <w:p w14:paraId="063CAAF6" w14:textId="77777777" w:rsidR="00BE0718" w:rsidRPr="00703EBC" w:rsidRDefault="00BE0718"/>
    <w:sectPr w:rsidR="00BE0718" w:rsidRPr="00703EBC" w:rsidSect="0077548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0702" w14:textId="77777777" w:rsidR="003B1E6C" w:rsidRDefault="003B1E6C" w:rsidP="00351025">
      <w:pPr>
        <w:spacing w:after="0" w:line="240" w:lineRule="auto"/>
      </w:pPr>
      <w:r>
        <w:separator/>
      </w:r>
    </w:p>
  </w:endnote>
  <w:endnote w:type="continuationSeparator" w:id="0">
    <w:p w14:paraId="13E67E23" w14:textId="77777777" w:rsidR="003B1E6C" w:rsidRDefault="003B1E6C" w:rsidP="0035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3B97" w14:textId="77777777" w:rsidR="003B1E6C" w:rsidRDefault="003B1E6C" w:rsidP="00351025">
      <w:pPr>
        <w:spacing w:after="0" w:line="240" w:lineRule="auto"/>
      </w:pPr>
      <w:r>
        <w:separator/>
      </w:r>
    </w:p>
  </w:footnote>
  <w:footnote w:type="continuationSeparator" w:id="0">
    <w:p w14:paraId="389E4692" w14:textId="77777777" w:rsidR="003B1E6C" w:rsidRDefault="003B1E6C" w:rsidP="0035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3699" w14:textId="77777777" w:rsidR="00351025" w:rsidRDefault="00351025">
    <w:pPr>
      <w:pStyle w:val="Header"/>
    </w:pPr>
    <w:r>
      <w:rPr>
        <w:noProof/>
        <w:lang w:val="en-US"/>
      </w:rPr>
      <mc:AlternateContent>
        <mc:Choice Requires="wps">
          <w:drawing>
            <wp:anchor distT="0" distB="0" distL="118745" distR="118745" simplePos="0" relativeHeight="251659264" behindDoc="1" locked="0" layoutInCell="1" allowOverlap="0" wp14:anchorId="0C3DE16B" wp14:editId="3CFD6C9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3C72FD" w14:textId="19C518FE" w:rsidR="00351025" w:rsidRDefault="00BA4C50">
                              <w:pPr>
                                <w:pStyle w:val="Header"/>
                                <w:tabs>
                                  <w:tab w:val="clear" w:pos="4680"/>
                                  <w:tab w:val="clear" w:pos="9360"/>
                                </w:tabs>
                                <w:jc w:val="center"/>
                                <w:rPr>
                                  <w:caps/>
                                  <w:color w:val="FFFFFF" w:themeColor="background1"/>
                                </w:rPr>
                              </w:pPr>
                              <w:r>
                                <w:rPr>
                                  <w:caps/>
                                  <w:color w:val="FFFFFF" w:themeColor="background1"/>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3DE16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3C72FD" w14:textId="19C518FE" w:rsidR="00351025" w:rsidRDefault="00BA4C50">
                        <w:pPr>
                          <w:pStyle w:val="Header"/>
                          <w:tabs>
                            <w:tab w:val="clear" w:pos="4680"/>
                            <w:tab w:val="clear" w:pos="9360"/>
                          </w:tabs>
                          <w:jc w:val="center"/>
                          <w:rPr>
                            <w:caps/>
                            <w:color w:val="FFFFFF" w:themeColor="background1"/>
                          </w:rPr>
                        </w:pPr>
                        <w:r>
                          <w:rPr>
                            <w:caps/>
                            <w:color w:val="FFFFFF" w:themeColor="background1"/>
                          </w:rPr>
                          <w:t>APPENDIX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877"/>
    <w:multiLevelType w:val="hybridMultilevel"/>
    <w:tmpl w:val="D29AD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F3F68"/>
    <w:multiLevelType w:val="hybridMultilevel"/>
    <w:tmpl w:val="769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5601B"/>
    <w:multiLevelType w:val="hybridMultilevel"/>
    <w:tmpl w:val="96F23BC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45D54AE1"/>
    <w:multiLevelType w:val="hybridMultilevel"/>
    <w:tmpl w:val="508C8FC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5464492D"/>
    <w:multiLevelType w:val="hybridMultilevel"/>
    <w:tmpl w:val="08F0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E5AEA"/>
    <w:multiLevelType w:val="hybridMultilevel"/>
    <w:tmpl w:val="AF14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04312"/>
    <w:multiLevelType w:val="hybridMultilevel"/>
    <w:tmpl w:val="D9C4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25756"/>
    <w:multiLevelType w:val="hybridMultilevel"/>
    <w:tmpl w:val="1924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573FB"/>
    <w:multiLevelType w:val="hybridMultilevel"/>
    <w:tmpl w:val="6CE8A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D06166"/>
    <w:multiLevelType w:val="hybridMultilevel"/>
    <w:tmpl w:val="D348F400"/>
    <w:lvl w:ilvl="0" w:tplc="D382DF3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8D"/>
    <w:rsid w:val="00031EBF"/>
    <w:rsid w:val="00130D09"/>
    <w:rsid w:val="00140639"/>
    <w:rsid w:val="00190600"/>
    <w:rsid w:val="0019544E"/>
    <w:rsid w:val="001C3FA4"/>
    <w:rsid w:val="002214BE"/>
    <w:rsid w:val="0030712B"/>
    <w:rsid w:val="003211E8"/>
    <w:rsid w:val="00351025"/>
    <w:rsid w:val="003B1E6C"/>
    <w:rsid w:val="003E6962"/>
    <w:rsid w:val="00422136"/>
    <w:rsid w:val="00447E39"/>
    <w:rsid w:val="00462753"/>
    <w:rsid w:val="004D5023"/>
    <w:rsid w:val="005731C1"/>
    <w:rsid w:val="00592EF2"/>
    <w:rsid w:val="005E4D23"/>
    <w:rsid w:val="0069681C"/>
    <w:rsid w:val="006F5C95"/>
    <w:rsid w:val="00703EBC"/>
    <w:rsid w:val="0070682A"/>
    <w:rsid w:val="00717B13"/>
    <w:rsid w:val="00721AE8"/>
    <w:rsid w:val="00751675"/>
    <w:rsid w:val="0077548D"/>
    <w:rsid w:val="007F095D"/>
    <w:rsid w:val="00822F5A"/>
    <w:rsid w:val="008262E9"/>
    <w:rsid w:val="008354D8"/>
    <w:rsid w:val="008354F1"/>
    <w:rsid w:val="008A6784"/>
    <w:rsid w:val="0091259B"/>
    <w:rsid w:val="009E3515"/>
    <w:rsid w:val="00AF3474"/>
    <w:rsid w:val="00B269D6"/>
    <w:rsid w:val="00B411E1"/>
    <w:rsid w:val="00B778FF"/>
    <w:rsid w:val="00B85D49"/>
    <w:rsid w:val="00BA4C50"/>
    <w:rsid w:val="00BE0718"/>
    <w:rsid w:val="00C00A61"/>
    <w:rsid w:val="00CB22E0"/>
    <w:rsid w:val="00D0700C"/>
    <w:rsid w:val="00DD767F"/>
    <w:rsid w:val="00E03C13"/>
    <w:rsid w:val="00E60A1E"/>
    <w:rsid w:val="00E92E18"/>
    <w:rsid w:val="00E92E42"/>
    <w:rsid w:val="00F01CD5"/>
    <w:rsid w:val="00F36DDC"/>
    <w:rsid w:val="00FB46A7"/>
    <w:rsid w:val="00FC26E5"/>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3A4D"/>
  <w15:chartTrackingRefBased/>
  <w15:docId w15:val="{EB238AE1-C158-4D1C-85BC-384771E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1C1"/>
    <w:pPr>
      <w:ind w:left="720"/>
      <w:contextualSpacing/>
    </w:pPr>
  </w:style>
  <w:style w:type="table" w:styleId="GridTable4">
    <w:name w:val="Grid Table 4"/>
    <w:basedOn w:val="TableNormal"/>
    <w:uiPriority w:val="49"/>
    <w:rsid w:val="003071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5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25"/>
    <w:rPr>
      <w:lang w:val="en-GB"/>
    </w:rPr>
  </w:style>
  <w:style w:type="paragraph" w:styleId="Footer">
    <w:name w:val="footer"/>
    <w:basedOn w:val="Normal"/>
    <w:link w:val="FooterChar"/>
    <w:uiPriority w:val="99"/>
    <w:unhideWhenUsed/>
    <w:rsid w:val="0035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25"/>
    <w:rPr>
      <w:lang w:val="en-GB"/>
    </w:rPr>
  </w:style>
  <w:style w:type="character" w:styleId="CommentReference">
    <w:name w:val="annotation reference"/>
    <w:basedOn w:val="DefaultParagraphFont"/>
    <w:uiPriority w:val="99"/>
    <w:semiHidden/>
    <w:unhideWhenUsed/>
    <w:rsid w:val="00E92E18"/>
    <w:rPr>
      <w:sz w:val="16"/>
      <w:szCs w:val="16"/>
    </w:rPr>
  </w:style>
  <w:style w:type="paragraph" w:styleId="CommentText">
    <w:name w:val="annotation text"/>
    <w:basedOn w:val="Normal"/>
    <w:link w:val="CommentTextChar"/>
    <w:uiPriority w:val="99"/>
    <w:unhideWhenUsed/>
    <w:rsid w:val="00E92E18"/>
    <w:pPr>
      <w:spacing w:line="240" w:lineRule="auto"/>
    </w:pPr>
    <w:rPr>
      <w:sz w:val="20"/>
      <w:szCs w:val="20"/>
    </w:rPr>
  </w:style>
  <w:style w:type="character" w:customStyle="1" w:styleId="CommentTextChar">
    <w:name w:val="Comment Text Char"/>
    <w:basedOn w:val="DefaultParagraphFont"/>
    <w:link w:val="CommentText"/>
    <w:uiPriority w:val="99"/>
    <w:rsid w:val="00E92E18"/>
    <w:rPr>
      <w:sz w:val="20"/>
      <w:szCs w:val="20"/>
      <w:lang w:val="en-GB"/>
    </w:rPr>
  </w:style>
  <w:style w:type="paragraph" w:styleId="CommentSubject">
    <w:name w:val="annotation subject"/>
    <w:basedOn w:val="CommentText"/>
    <w:next w:val="CommentText"/>
    <w:link w:val="CommentSubjectChar"/>
    <w:uiPriority w:val="99"/>
    <w:semiHidden/>
    <w:unhideWhenUsed/>
    <w:rsid w:val="00E92E18"/>
    <w:rPr>
      <w:b/>
      <w:bCs/>
    </w:rPr>
  </w:style>
  <w:style w:type="character" w:customStyle="1" w:styleId="CommentSubjectChar">
    <w:name w:val="Comment Subject Char"/>
    <w:basedOn w:val="CommentTextChar"/>
    <w:link w:val="CommentSubject"/>
    <w:uiPriority w:val="99"/>
    <w:semiHidden/>
    <w:rsid w:val="00E92E18"/>
    <w:rPr>
      <w:b/>
      <w:bCs/>
      <w:sz w:val="20"/>
      <w:szCs w:val="20"/>
      <w:lang w:val="en-GB"/>
    </w:rPr>
  </w:style>
  <w:style w:type="paragraph" w:styleId="BalloonText">
    <w:name w:val="Balloon Text"/>
    <w:basedOn w:val="Normal"/>
    <w:link w:val="BalloonTextChar"/>
    <w:uiPriority w:val="99"/>
    <w:semiHidden/>
    <w:unhideWhenUsed/>
    <w:rsid w:val="0070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2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D13D-6A0C-4F03-9346-D891A2A9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Shaniece Lindsay</dc:creator>
  <cp:keywords/>
  <dc:description/>
  <cp:lastModifiedBy>S G</cp:lastModifiedBy>
  <cp:revision>2</cp:revision>
  <dcterms:created xsi:type="dcterms:W3CDTF">2021-03-19T01:02:00Z</dcterms:created>
  <dcterms:modified xsi:type="dcterms:W3CDTF">2021-03-19T01:02:00Z</dcterms:modified>
</cp:coreProperties>
</file>